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5502F868" w14:textId="50EC9EBF" w:rsidR="00930E12" w:rsidRDefault="00930E12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36"/>
          <w:szCs w:val="36"/>
        </w:rPr>
      </w:pPr>
      <w:r w:rsidRPr="002002AF">
        <w:rPr>
          <w:rFonts w:cs="Arial"/>
          <w:b/>
          <w:sz w:val="36"/>
          <w:szCs w:val="36"/>
        </w:rPr>
        <w:t>MEMORIAL DESCRITIVO</w:t>
      </w:r>
    </w:p>
    <w:p w14:paraId="2092ECA4" w14:textId="77777777" w:rsidR="002002AF" w:rsidRPr="002002AF" w:rsidRDefault="002002AF" w:rsidP="000C33AC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</w:p>
    <w:p w14:paraId="73D4BEC8" w14:textId="77777777" w:rsidR="000C33AC" w:rsidRDefault="000C33AC" w:rsidP="000C33AC">
      <w:pPr>
        <w:pStyle w:val="Citao"/>
        <w:spacing w:after="0" w:line="360" w:lineRule="auto"/>
        <w:jc w:val="center"/>
        <w:rPr>
          <w:rFonts w:cs="Arial"/>
          <w:b/>
          <w:sz w:val="24"/>
          <w:szCs w:val="24"/>
        </w:rPr>
      </w:pPr>
    </w:p>
    <w:p w14:paraId="6B447D2F" w14:textId="41E4FB73" w:rsidR="000C33AC" w:rsidRDefault="000C33AC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PAVIMENTAÇÃO EM PEDRAS POLIÉDRICAS</w:t>
      </w:r>
    </w:p>
    <w:p w14:paraId="1DEE8A2C" w14:textId="26EE5AFE" w:rsidR="00740A44" w:rsidRPr="002002AF" w:rsidRDefault="000C33AC" w:rsidP="000C33AC">
      <w:pPr>
        <w:pStyle w:val="Citao"/>
        <w:spacing w:after="0" w:line="36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</w:t>
      </w:r>
      <w:r w:rsidR="001A0A46" w:rsidRPr="002002AF">
        <w:rPr>
          <w:rFonts w:cs="Arial"/>
          <w:b/>
          <w:sz w:val="24"/>
          <w:szCs w:val="24"/>
        </w:rPr>
        <w:t xml:space="preserve">REPERFILAGEM </w:t>
      </w:r>
      <w:r w:rsidR="008A13B5" w:rsidRPr="002002AF">
        <w:rPr>
          <w:rFonts w:cs="Arial"/>
          <w:b/>
          <w:sz w:val="24"/>
          <w:szCs w:val="24"/>
        </w:rPr>
        <w:t>ASFALT</w:t>
      </w:r>
      <w:r w:rsidR="001A0A46" w:rsidRPr="002002AF">
        <w:rPr>
          <w:rFonts w:cs="Arial"/>
          <w:b/>
          <w:sz w:val="24"/>
          <w:szCs w:val="24"/>
        </w:rPr>
        <w:t>ICA</w:t>
      </w:r>
    </w:p>
    <w:p w14:paraId="2BEE6FAD" w14:textId="7B2E543B" w:rsidR="002002AF" w:rsidRPr="002002AF" w:rsidRDefault="002002AF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SINALIZAÇÃO VERTICAL E HORIZONTAL</w:t>
      </w:r>
    </w:p>
    <w:p w14:paraId="25BBA4C8" w14:textId="44B4E727" w:rsidR="00930E12" w:rsidRPr="008D1165" w:rsidRDefault="00930E12" w:rsidP="000C33AC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6EDBF2CE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0" w:name="_Toc450638283"/>
      <w:r w:rsidRPr="0005329B">
        <w:rPr>
          <w:rFonts w:cs="Arial"/>
          <w:szCs w:val="24"/>
        </w:rPr>
        <w:lastRenderedPageBreak/>
        <w:t>Objetivo</w:t>
      </w:r>
      <w:bookmarkEnd w:id="0"/>
    </w:p>
    <w:p w14:paraId="06FEB3B0" w14:textId="77777777" w:rsidR="00930E12" w:rsidRPr="0005329B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sz w:val="24"/>
          <w:szCs w:val="24"/>
        </w:rPr>
        <w:t xml:space="preserve">Este projeto foi desenvolvido levando-se em consideração os anseios do proprietário, </w:t>
      </w:r>
      <w:r w:rsidRPr="0005329B">
        <w:rPr>
          <w:rFonts w:cs="Arial"/>
          <w:b/>
          <w:sz w:val="24"/>
          <w:szCs w:val="24"/>
        </w:rPr>
        <w:t>MUNICÍPIO DE DIONÍSIO CERQUEIRA,</w:t>
      </w:r>
      <w:r w:rsidRPr="0005329B">
        <w:rPr>
          <w:rFonts w:cs="Arial"/>
          <w:sz w:val="24"/>
          <w:szCs w:val="24"/>
        </w:rPr>
        <w:t xml:space="preserve"> confirmado através de pesquisas, avaliações do mesmo para com o projeto, na qual resultou no que aqui apresentamos, considerando dados importantes, tais como: topografia, insolação, custos da obra, versatilidade, durabilidade e material de primeira qualidade.</w:t>
      </w:r>
    </w:p>
    <w:p w14:paraId="7F950065" w14:textId="77777777" w:rsidR="00F90882" w:rsidRPr="0005329B" w:rsidRDefault="00F90882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450638284"/>
      <w:r w:rsidRPr="0005329B">
        <w:rPr>
          <w:rFonts w:cs="Arial"/>
          <w:szCs w:val="24"/>
        </w:rPr>
        <w:t>Local da Obra</w:t>
      </w:r>
      <w:bookmarkEnd w:id="1"/>
    </w:p>
    <w:p w14:paraId="150811D9" w14:textId="74D3A60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A31F30">
        <w:rPr>
          <w:rFonts w:cs="Arial"/>
          <w:sz w:val="24"/>
          <w:szCs w:val="24"/>
        </w:rPr>
        <w:t>.</w:t>
      </w:r>
    </w:p>
    <w:p w14:paraId="71A17172" w14:textId="77777777" w:rsidR="00711F64" w:rsidRPr="0005329B" w:rsidRDefault="00711F64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598A046B" w14:textId="16F83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5"/>
      <w:r w:rsidRPr="0005329B">
        <w:rPr>
          <w:rFonts w:cs="Arial"/>
          <w:szCs w:val="24"/>
        </w:rPr>
        <w:t xml:space="preserve">Descrição das Ruas a </w:t>
      </w:r>
      <w:bookmarkEnd w:id="2"/>
      <w:r w:rsidR="002002AF">
        <w:rPr>
          <w:rFonts w:cs="Arial"/>
          <w:szCs w:val="24"/>
        </w:rPr>
        <w:t>receber reperfilagem e sinalizações</w:t>
      </w:r>
      <w:r w:rsidR="005D32D6">
        <w:rPr>
          <w:rFonts w:cs="Arial"/>
          <w:szCs w:val="24"/>
        </w:rPr>
        <w:t xml:space="preserve"> verticais e horizontais</w:t>
      </w:r>
      <w:r w:rsidR="002002AF">
        <w:rPr>
          <w:rFonts w:cs="Arial"/>
          <w:szCs w:val="24"/>
        </w:rPr>
        <w:t>:</w:t>
      </w:r>
    </w:p>
    <w:p w14:paraId="1ED86D31" w14:textId="75203E2D" w:rsidR="00930E12" w:rsidRDefault="00A31F30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Ru</w:t>
      </w:r>
      <w:r w:rsidR="00A6264A">
        <w:rPr>
          <w:rFonts w:cs="Arial"/>
          <w:sz w:val="24"/>
          <w:szCs w:val="24"/>
        </w:rPr>
        <w:t>a Alemanha</w:t>
      </w:r>
      <w:r w:rsidR="001A0A46">
        <w:rPr>
          <w:rFonts w:cs="Arial"/>
          <w:sz w:val="24"/>
          <w:szCs w:val="24"/>
        </w:rPr>
        <w:t>;</w:t>
      </w:r>
    </w:p>
    <w:p w14:paraId="5B521A19" w14:textId="2AC302C9" w:rsidR="008A13B5" w:rsidRDefault="008A13B5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A6264A">
        <w:rPr>
          <w:rFonts w:cs="Arial"/>
          <w:sz w:val="24"/>
          <w:szCs w:val="24"/>
        </w:rPr>
        <w:t>Juvêncio Fernandes</w:t>
      </w:r>
      <w:r>
        <w:rPr>
          <w:rFonts w:cs="Arial"/>
          <w:sz w:val="24"/>
          <w:szCs w:val="24"/>
        </w:rPr>
        <w:t>;</w:t>
      </w:r>
    </w:p>
    <w:p w14:paraId="164E945E" w14:textId="42FE4E14" w:rsidR="00A6264A" w:rsidRDefault="00A6264A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1C26EF">
        <w:rPr>
          <w:rFonts w:cs="Arial"/>
          <w:sz w:val="24"/>
          <w:szCs w:val="24"/>
        </w:rPr>
        <w:t>Ordalino Guerreiro de Campos;</w:t>
      </w:r>
    </w:p>
    <w:p w14:paraId="68F92F27" w14:textId="4586363E" w:rsidR="008A13B5" w:rsidRDefault="008A13B5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A6264A">
        <w:rPr>
          <w:rFonts w:cs="Arial"/>
          <w:sz w:val="24"/>
          <w:szCs w:val="24"/>
        </w:rPr>
        <w:t>Miguel Dragone</w:t>
      </w:r>
      <w:r>
        <w:rPr>
          <w:rFonts w:cs="Arial"/>
          <w:sz w:val="24"/>
          <w:szCs w:val="24"/>
        </w:rPr>
        <w:t>;</w:t>
      </w:r>
    </w:p>
    <w:p w14:paraId="1D167D0A" w14:textId="0E995293" w:rsidR="008A13B5" w:rsidRDefault="008A13B5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A6264A">
        <w:rPr>
          <w:rFonts w:cs="Arial"/>
          <w:sz w:val="24"/>
          <w:szCs w:val="24"/>
        </w:rPr>
        <w:t>Porsch;</w:t>
      </w:r>
    </w:p>
    <w:p w14:paraId="2B019151" w14:textId="4E8DA36A" w:rsidR="00A6264A" w:rsidRDefault="00A6264A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Rua Leoberto Leal.</w:t>
      </w:r>
    </w:p>
    <w:p w14:paraId="2175ADD8" w14:textId="77777777" w:rsidR="002002AF" w:rsidRDefault="002002AF" w:rsidP="002002AF">
      <w:pPr>
        <w:pStyle w:val="Recuodecorpodetexto"/>
        <w:spacing w:after="0" w:line="360" w:lineRule="auto"/>
        <w:ind w:left="1068"/>
        <w:jc w:val="both"/>
        <w:rPr>
          <w:rFonts w:cs="Arial"/>
          <w:sz w:val="24"/>
          <w:szCs w:val="24"/>
        </w:rPr>
      </w:pPr>
    </w:p>
    <w:p w14:paraId="00E0C5CB" w14:textId="478771BA" w:rsidR="002002AF" w:rsidRPr="0005329B" w:rsidRDefault="002002AF" w:rsidP="002002AF">
      <w:pPr>
        <w:pStyle w:val="Ttulo1"/>
        <w:spacing w:after="0" w:line="360" w:lineRule="auto"/>
        <w:rPr>
          <w:rFonts w:cs="Arial"/>
          <w:szCs w:val="24"/>
        </w:rPr>
      </w:pPr>
      <w:r w:rsidRPr="0005329B">
        <w:rPr>
          <w:rFonts w:cs="Arial"/>
          <w:szCs w:val="24"/>
        </w:rPr>
        <w:t>Descrição das Ruas a</w:t>
      </w:r>
      <w:r>
        <w:rPr>
          <w:rFonts w:cs="Arial"/>
          <w:szCs w:val="24"/>
        </w:rPr>
        <w:t xml:space="preserve"> receber pavimentação poliédrica</w:t>
      </w:r>
      <w:r w:rsidR="00872DAC">
        <w:rPr>
          <w:rFonts w:cs="Arial"/>
          <w:szCs w:val="24"/>
        </w:rPr>
        <w:t xml:space="preserve"> e sinalizações verticais</w:t>
      </w:r>
      <w:r>
        <w:rPr>
          <w:rFonts w:cs="Arial"/>
          <w:szCs w:val="24"/>
        </w:rPr>
        <w:t>:</w:t>
      </w:r>
    </w:p>
    <w:p w14:paraId="7A628D9D" w14:textId="4825DAD2" w:rsidR="002002AF" w:rsidRDefault="002002AF" w:rsidP="002002AF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9F1201">
        <w:rPr>
          <w:rFonts w:cs="Arial"/>
          <w:sz w:val="24"/>
          <w:szCs w:val="24"/>
        </w:rPr>
        <w:t>Guerino Pércio</w:t>
      </w:r>
      <w:r w:rsidR="002F5802">
        <w:rPr>
          <w:rFonts w:cs="Arial"/>
          <w:sz w:val="24"/>
          <w:szCs w:val="24"/>
        </w:rPr>
        <w:t xml:space="preserve">, Trecho </w:t>
      </w:r>
      <w:r w:rsidR="00A6264A">
        <w:rPr>
          <w:rFonts w:cs="Arial"/>
          <w:sz w:val="24"/>
          <w:szCs w:val="24"/>
        </w:rPr>
        <w:t>3</w:t>
      </w:r>
      <w:r w:rsidR="005562F6">
        <w:rPr>
          <w:rFonts w:cs="Arial"/>
          <w:sz w:val="24"/>
          <w:szCs w:val="24"/>
        </w:rPr>
        <w:t>;</w:t>
      </w:r>
    </w:p>
    <w:p w14:paraId="553B9120" w14:textId="6F48925D" w:rsidR="001C26EF" w:rsidRPr="005562F6" w:rsidRDefault="005562F6" w:rsidP="002002AF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 w:rsidRPr="005562F6">
        <w:rPr>
          <w:rFonts w:eastAsiaTheme="minorEastAsia" w:cs="Arial"/>
          <w:sz w:val="24"/>
          <w:szCs w:val="24"/>
          <w:lang w:eastAsia="en-US"/>
        </w:rPr>
        <w:t>Dorvalino Ferreira Baitaca</w:t>
      </w:r>
      <w:r>
        <w:rPr>
          <w:rFonts w:eastAsiaTheme="minorEastAsia" w:cs="Arial"/>
          <w:sz w:val="24"/>
          <w:szCs w:val="24"/>
          <w:lang w:eastAsia="en-US"/>
        </w:rPr>
        <w:t>.</w:t>
      </w:r>
    </w:p>
    <w:p w14:paraId="2A4AB351" w14:textId="77777777" w:rsidR="00740A44" w:rsidRPr="0005329B" w:rsidRDefault="00740A44" w:rsidP="00740A44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2C7B6821" w14:textId="4BC7F640" w:rsidR="00865C7C" w:rsidRPr="002A77D0" w:rsidRDefault="00865C7C" w:rsidP="00865C7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bookmarkStart w:id="3" w:name="_Toc450638288"/>
    </w:p>
    <w:bookmarkEnd w:id="3"/>
    <w:p w14:paraId="2A0A48B8" w14:textId="77777777" w:rsidR="008A13B5" w:rsidRPr="0005329B" w:rsidRDefault="008A13B5" w:rsidP="00B14048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1B635896" w14:textId="1AF81118" w:rsidR="0082338D" w:rsidRDefault="0051414E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 </w:t>
      </w:r>
      <w:r w:rsidR="00332EF4">
        <w:rPr>
          <w:rStyle w:val="Forte"/>
          <w:rFonts w:cs="Arial"/>
          <w:i/>
          <w:sz w:val="24"/>
          <w:szCs w:val="24"/>
        </w:rPr>
        <w:t xml:space="preserve"> </w:t>
      </w:r>
    </w:p>
    <w:p w14:paraId="3468212F" w14:textId="77777777" w:rsidR="0082338D" w:rsidRDefault="0082338D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0C67271B" w14:textId="4D4A3F38" w:rsidR="00930E12" w:rsidRDefault="00332EF4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lastRenderedPageBreak/>
        <w:t xml:space="preserve">1 </w:t>
      </w:r>
      <w:r w:rsidR="0051414E">
        <w:rPr>
          <w:rStyle w:val="Forte"/>
          <w:rFonts w:cs="Arial"/>
          <w:i/>
          <w:sz w:val="24"/>
          <w:szCs w:val="24"/>
        </w:rPr>
        <w:t xml:space="preserve">PAVIMENTAÇÃO </w:t>
      </w:r>
      <w:r w:rsidR="006F1242">
        <w:rPr>
          <w:rStyle w:val="Forte"/>
          <w:rFonts w:cs="Arial"/>
          <w:i/>
          <w:sz w:val="24"/>
          <w:szCs w:val="24"/>
        </w:rPr>
        <w:t>EM</w:t>
      </w:r>
      <w:r w:rsidR="0051414E">
        <w:rPr>
          <w:rStyle w:val="Forte"/>
          <w:rFonts w:cs="Arial"/>
          <w:i/>
          <w:sz w:val="24"/>
          <w:szCs w:val="24"/>
        </w:rPr>
        <w:t xml:space="preserve"> PEDRAS POLIÉDRICAS</w:t>
      </w:r>
    </w:p>
    <w:p w14:paraId="273973EC" w14:textId="6220FA13" w:rsidR="00B14048" w:rsidRDefault="00B14048" w:rsidP="00B14048">
      <w:pPr>
        <w:pStyle w:val="Recuodecorpodetexto"/>
        <w:spacing w:after="0" w:line="360" w:lineRule="auto"/>
        <w:ind w:left="567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 </w:t>
      </w:r>
    </w:p>
    <w:p w14:paraId="5607C12C" w14:textId="0BD75299" w:rsidR="00053668" w:rsidRPr="002F3079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4" w:name="_Toc450638287"/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REGULARIZAÇÃO DO SUBLEITO</w:t>
      </w:r>
    </w:p>
    <w:p w14:paraId="028A886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 regularização do subleito é realizada quando necessário, transversalmente e longitudinalmente, compreendendo cortes ou aterros até 0,10 m de espessura. O que exceder a 0,10 m será considerado como terraplenagem.</w:t>
      </w:r>
    </w:p>
    <w:p w14:paraId="179ED17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matérias empregados na regularização do subleito serão os encontrados no próprio local.</w:t>
      </w:r>
    </w:p>
    <w:p w14:paraId="42D5E4F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São indicados alguns tipos de equipamentos para a execução da regularização do subleito: motoniveladora pesada com escarificador, carro</w:t>
      </w:r>
      <w:r w:rsidRPr="0051414E">
        <w:rPr>
          <w:rFonts w:ascii="Arial" w:hAnsi="Arial"/>
          <w:b/>
          <w:bCs/>
          <w:sz w:val="24"/>
          <w:szCs w:val="24"/>
        </w:rPr>
        <w:t xml:space="preserve"> </w:t>
      </w:r>
      <w:r w:rsidRPr="0051414E">
        <w:rPr>
          <w:rFonts w:ascii="Arial" w:hAnsi="Arial"/>
          <w:sz w:val="24"/>
          <w:szCs w:val="24"/>
        </w:rPr>
        <w:t>tanque distribuidor de água, rolos compactadores tipo pé-de-carneiro, grade de discos e retroescavadeira.</w:t>
      </w:r>
    </w:p>
    <w:p w14:paraId="22BD034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Após a execução de cortes e aterros para atingir o greide de projeto, proceder- se á uma compactação com rolo pé-de-carneiro e se fará um acabamento conveniente.</w:t>
      </w:r>
    </w:p>
    <w:p w14:paraId="4833EC86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 regularização deverá ser executada até ultrapassar em 50 cm a largura do subleito por efeitos de águas, caso em que será sempre assegurado o seu rápido escoamento, através da abertura de valas provisórias.</w:t>
      </w:r>
    </w:p>
    <w:p w14:paraId="08D2788A" w14:textId="77777777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aterros, além dos 10 cm máximos previstos, serão executados de acordo com especificações de terraplenagem.</w:t>
      </w:r>
      <w:r>
        <w:rPr>
          <w:rFonts w:ascii="Arial" w:hAnsi="Arial"/>
          <w:sz w:val="24"/>
          <w:szCs w:val="24"/>
        </w:rPr>
        <w:t xml:space="preserve"> </w:t>
      </w:r>
    </w:p>
    <w:p w14:paraId="722379E2" w14:textId="7AD49595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controle geométrico deverá ser efetuado após a regularização do subleito, procedendo-se à locação e nivelamento do eixo e das bordas.</w:t>
      </w:r>
    </w:p>
    <w:p w14:paraId="487B7B8D" w14:textId="77777777" w:rsidR="00EA668D" w:rsidRPr="00053668" w:rsidRDefault="00EA668D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</w:p>
    <w:p w14:paraId="421EF21A" w14:textId="4398FFA9" w:rsidR="00053668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BASE DO SOLO</w:t>
      </w:r>
    </w:p>
    <w:p w14:paraId="383AB37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Este serviço só poderá ser iniciado, após a conclusão da regularização do subleito, da aceitação dos resultados apresentados pelos ensaios de laboratório e deverão ser executados isoladamente da construção das outras camadas do pavimento.</w:t>
      </w:r>
    </w:p>
    <w:p w14:paraId="3F04159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lastRenderedPageBreak/>
        <w:t>Será executado em conformidade com as seções transversais tipo do projeto e compreenderá as seguintes operações: fornecimento, mistura, espalhamento, compactação e acabamento.</w:t>
      </w:r>
    </w:p>
    <w:p w14:paraId="1ABD9D5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material deve ser empregado na camada da base deverá ser proveniente de local adequado e autorizado, com qualidade ótima, que tenha um suporte adequado para a pavimentação</w:t>
      </w:r>
      <w:r>
        <w:rPr>
          <w:rFonts w:ascii="Arial" w:hAnsi="Arial"/>
          <w:sz w:val="24"/>
          <w:szCs w:val="24"/>
        </w:rPr>
        <w:t xml:space="preserve">, conforme está descrito na planilha de orçamento. </w:t>
      </w:r>
    </w:p>
    <w:p w14:paraId="77492D99" w14:textId="321985A6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Todo o serviço da construção da base deverá ser executado mecanicamente constando o equipamento mínimo necessário de: motoniveladora com escarificador, carro tanque distribuidor de água, rolo compactador vibratório liso e caminhões basculantes para o transporte dos materiais.</w:t>
      </w:r>
    </w:p>
    <w:p w14:paraId="1828F8DD" w14:textId="77777777" w:rsidR="006F1242" w:rsidRDefault="006F1242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4C55A26" w14:textId="3E2179B6" w:rsidR="00332EF4" w:rsidRPr="000C33AC" w:rsidRDefault="00B33018" w:rsidP="006F124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Style w:val="Forte"/>
          <w:rFonts w:ascii="Arial" w:hAnsi="Arial" w:cs="Arial"/>
          <w:b w:val="0"/>
          <w:bCs w:val="0"/>
          <w:sz w:val="24"/>
          <w:szCs w:val="24"/>
        </w:rPr>
      </w:pPr>
      <w:r>
        <w:rPr>
          <w:rStyle w:val="Forte"/>
          <w:rFonts w:ascii="Arial" w:hAnsi="Arial" w:cs="Arial"/>
          <w:i/>
          <w:sz w:val="24"/>
          <w:szCs w:val="24"/>
        </w:rPr>
        <w:t>REPERFILAGEM ASFÁLTICA</w:t>
      </w:r>
    </w:p>
    <w:p w14:paraId="373F801C" w14:textId="77777777" w:rsidR="000C33AC" w:rsidRPr="006F1242" w:rsidRDefault="000C33AC" w:rsidP="000C33AC">
      <w:pPr>
        <w:pStyle w:val="PargrafodaLista"/>
        <w:autoSpaceDE w:val="0"/>
        <w:autoSpaceDN w:val="0"/>
        <w:adjustRightInd w:val="0"/>
        <w:spacing w:after="0" w:line="360" w:lineRule="auto"/>
        <w:ind w:left="643"/>
        <w:jc w:val="both"/>
        <w:rPr>
          <w:rFonts w:ascii="Arial" w:hAnsi="Arial" w:cs="Arial"/>
          <w:sz w:val="24"/>
          <w:szCs w:val="24"/>
        </w:rPr>
      </w:pPr>
    </w:p>
    <w:p w14:paraId="5B094E29" w14:textId="4C99B26A" w:rsidR="008A13B5" w:rsidRPr="00B116E0" w:rsidRDefault="006F1242" w:rsidP="006F1242">
      <w:pPr>
        <w:pStyle w:val="Citao"/>
        <w:spacing w:line="276" w:lineRule="auto"/>
        <w:ind w:left="1440"/>
        <w:outlineLvl w:val="0"/>
        <w:rPr>
          <w:rStyle w:val="Forte"/>
          <w:sz w:val="24"/>
          <w:szCs w:val="24"/>
        </w:rPr>
      </w:pPr>
      <w:r>
        <w:rPr>
          <w:rStyle w:val="Forte"/>
          <w:sz w:val="24"/>
          <w:szCs w:val="24"/>
        </w:rPr>
        <w:t>2.1</w:t>
      </w:r>
      <w:r w:rsidR="00B116E0">
        <w:rPr>
          <w:rStyle w:val="Forte"/>
          <w:sz w:val="24"/>
          <w:szCs w:val="24"/>
        </w:rPr>
        <w:t xml:space="preserve"> </w:t>
      </w:r>
      <w:r w:rsidR="008A13B5" w:rsidRPr="00B116E0">
        <w:rPr>
          <w:rStyle w:val="Forte"/>
          <w:sz w:val="24"/>
          <w:szCs w:val="24"/>
        </w:rPr>
        <w:t>LIMPEZA DA BASE</w:t>
      </w:r>
      <w:bookmarkEnd w:id="4"/>
    </w:p>
    <w:p w14:paraId="0F08728F" w14:textId="1B2C82E9" w:rsidR="008A13B5" w:rsidRPr="008A13B5" w:rsidRDefault="00D323AC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</w:t>
      </w:r>
      <w:r w:rsidR="008A13B5" w:rsidRPr="008A13B5">
        <w:rPr>
          <w:rFonts w:ascii="Arial" w:hAnsi="Arial"/>
          <w:sz w:val="24"/>
          <w:szCs w:val="24"/>
        </w:rPr>
        <w:t>oda a área a ser pavimentada deverá ser convenientemente lavada com um jato d’água proveniente do caminhão pipa, com a finalidade de remover materiais orgânicos, óleos, graxas, etc. A superfície será limpa até a eliminação total dos resíduos nocivos a aderência do C.B.U.Q. A medição dos serviços de limpeza da pista será realizada por metro quadrado de plataforma concluída, com dados fornecidos pelo projeto planimétrico.</w:t>
      </w:r>
    </w:p>
    <w:p w14:paraId="521F8E7F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415D9AE3" w14:textId="2FEB8F44" w:rsidR="00B116E0" w:rsidRPr="00BD5E40" w:rsidRDefault="00B116E0" w:rsidP="006F1242">
      <w:pPr>
        <w:pStyle w:val="Recuodecorpodetexto"/>
        <w:numPr>
          <w:ilvl w:val="1"/>
          <w:numId w:val="8"/>
        </w:numPr>
        <w:spacing w:after="0" w:line="360" w:lineRule="auto"/>
        <w:jc w:val="both"/>
        <w:outlineLvl w:val="0"/>
        <w:rPr>
          <w:rFonts w:cs="Arial"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 xml:space="preserve"> DRENAGEM PLUVIAL</w:t>
      </w:r>
    </w:p>
    <w:p w14:paraId="3F0BD5ED" w14:textId="6BACE187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Antes da execução da pavimentação asfáltica</w:t>
      </w:r>
      <w:r w:rsidR="00B33018">
        <w:rPr>
          <w:rFonts w:ascii="Arial" w:hAnsi="Arial" w:cs="Arial"/>
          <w:sz w:val="24"/>
          <w:szCs w:val="24"/>
        </w:rPr>
        <w:t xml:space="preserve"> e da pavimentação em pedras poliédricas</w:t>
      </w:r>
      <w:r w:rsidRPr="00D0246F">
        <w:rPr>
          <w:rFonts w:ascii="Arial" w:hAnsi="Arial" w:cs="Arial"/>
          <w:sz w:val="24"/>
          <w:szCs w:val="24"/>
        </w:rPr>
        <w:t xml:space="preserve"> deverão ser executados os serviços de drenagem pluvial, os quais devem estar de acordo com o projeto em anexo.</w:t>
      </w:r>
      <w:r>
        <w:rPr>
          <w:rFonts w:ascii="Arial" w:hAnsi="Arial" w:cs="Arial"/>
          <w:sz w:val="24"/>
          <w:szCs w:val="24"/>
        </w:rPr>
        <w:t xml:space="preserve"> </w:t>
      </w:r>
      <w:r w:rsidRPr="00542A9D">
        <w:rPr>
          <w:rFonts w:ascii="Arial" w:hAnsi="Arial" w:cs="Arial"/>
          <w:sz w:val="24"/>
          <w:szCs w:val="24"/>
        </w:rPr>
        <w:t>As ruas a receber drenagem pluvial são</w:t>
      </w:r>
      <w:r w:rsidR="00542A9D">
        <w:rPr>
          <w:rFonts w:ascii="Arial" w:hAnsi="Arial" w:cs="Arial"/>
          <w:sz w:val="24"/>
          <w:szCs w:val="24"/>
        </w:rPr>
        <w:t xml:space="preserve"> Guerino Pércio, Miguel Dragone e Dorvalino Ferreira Baitaca. </w:t>
      </w:r>
    </w:p>
    <w:p w14:paraId="441AA84F" w14:textId="39B48483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 drenagem pluvial será feita através da captação das águas nas bocas de lobo, as águas captadas serão conduzidas por tubulação de BSTC até seu destino final.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Será utilizado tubulações de 400</w:t>
      </w:r>
      <w:r w:rsidR="004000A6">
        <w:rPr>
          <w:rFonts w:ascii="Arial" w:hAnsi="Arial" w:cs="Arial"/>
          <w:sz w:val="24"/>
          <w:szCs w:val="24"/>
        </w:rPr>
        <w:t xml:space="preserve"> </w:t>
      </w:r>
      <w:r w:rsidR="006C0105">
        <w:rPr>
          <w:rFonts w:ascii="Arial" w:hAnsi="Arial" w:cs="Arial"/>
          <w:sz w:val="24"/>
          <w:szCs w:val="24"/>
        </w:rPr>
        <w:t>mm e</w:t>
      </w:r>
      <w:r>
        <w:rPr>
          <w:rFonts w:ascii="Arial" w:hAnsi="Arial" w:cs="Arial"/>
          <w:sz w:val="24"/>
          <w:szCs w:val="24"/>
        </w:rPr>
        <w:t xml:space="preserve"> 600 mm</w:t>
      </w:r>
      <w:r w:rsidR="006C0105">
        <w:rPr>
          <w:rFonts w:ascii="Arial" w:hAnsi="Arial" w:cs="Arial"/>
          <w:sz w:val="24"/>
          <w:szCs w:val="24"/>
        </w:rPr>
        <w:t xml:space="preserve"> de diâmetro, </w:t>
      </w:r>
      <w:r>
        <w:rPr>
          <w:rFonts w:ascii="Arial" w:hAnsi="Arial" w:cs="Arial"/>
          <w:sz w:val="24"/>
          <w:szCs w:val="24"/>
        </w:rPr>
        <w:t>conforme especificações da planilha de orçamento.</w:t>
      </w:r>
    </w:p>
    <w:p w14:paraId="4DB7B5EA" w14:textId="77777777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Deverá ser feita a locação das tubulações, levando-se em conta pontos importantes do projeto, tais como: poços de visita, bocas de lobo existente, encontros de condutores, variação de declividade. Em cada estaca será marcada a cota do terreno e a profundidade da escavação necessária.</w:t>
      </w:r>
    </w:p>
    <w:p w14:paraId="1BCABC55" w14:textId="77777777" w:rsidR="00B116E0" w:rsidRPr="0005329B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As bocas de lobos serão confeccionadas com tijolos maciços</w:t>
      </w:r>
      <w:r>
        <w:rPr>
          <w:rFonts w:ascii="Arial" w:hAnsi="Arial" w:cs="Arial"/>
          <w:sz w:val="24"/>
          <w:szCs w:val="24"/>
        </w:rPr>
        <w:t>,</w:t>
      </w:r>
      <w:r w:rsidRPr="00D024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 planilha de orçamentos, e locadas</w:t>
      </w:r>
      <w:r w:rsidRPr="00D0246F">
        <w:rPr>
          <w:rFonts w:ascii="Arial" w:hAnsi="Arial" w:cs="Arial"/>
          <w:sz w:val="24"/>
          <w:szCs w:val="24"/>
        </w:rPr>
        <w:t xml:space="preserve"> conforme projeto.</w:t>
      </w:r>
    </w:p>
    <w:p w14:paraId="4BA7D90D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O sentido normal das escavações será sempre de jusante para montante. OBS: Quando a coesão do solo for muito baixa, deverá ser efetuado o escoramento da vala de maneira a evitar um possível desmoronamento.</w:t>
      </w:r>
    </w:p>
    <w:p w14:paraId="013EAF34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 reposição de material na vala (mat. class. 1ª cat. - solo) será executada da seguinte maneira: inicialmente deverá ser colocado material de granulometria fina de cada lado da canalização, o qual irá sendo cuidadosamente apiloado. Será conveniente tomar precauções de compactar todo o material até cerca de 60 centímetros acima do tubo, fazendo-se sempre está compactação lateralmente ao tubo.</w:t>
      </w:r>
    </w:p>
    <w:p w14:paraId="5CD40B72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Deve-se cuidar para que o material esteja na umidade ótima para a sua perfeita compactação, a qual será realizada com o auxílio de uma placa vibratória, e a camada de solo a ser compactada em cada etapa não deve ultrapassar os 20 cm.</w:t>
      </w:r>
    </w:p>
    <w:p w14:paraId="347AEE4C" w14:textId="77777777" w:rsid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Após este apiloamento adequado, deve se fazer um selo do dreno com brita graduada especificamente britada e com sustentação adequada ao projeto, com espessura de 15 cm devidamente compactada.</w:t>
      </w:r>
    </w:p>
    <w:p w14:paraId="21A98003" w14:textId="559150CF" w:rsidR="006461F5" w:rsidRP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 xml:space="preserve">Deve-se fazer a pintura de ligação deste dreno com RR-2c à taxa de 0,60L/m² e após a espera do tempo determinado, fazer uma capa asfáltica de C.B.U.Q. de </w:t>
      </w:r>
      <w:r w:rsidR="004000A6">
        <w:rPr>
          <w:rFonts w:ascii="Arial" w:hAnsi="Arial"/>
          <w:sz w:val="24"/>
          <w:szCs w:val="24"/>
        </w:rPr>
        <w:t>3</w:t>
      </w:r>
      <w:r w:rsidRPr="002A77D0">
        <w:rPr>
          <w:rFonts w:ascii="Arial" w:hAnsi="Arial"/>
          <w:sz w:val="24"/>
          <w:szCs w:val="24"/>
        </w:rPr>
        <w:t xml:space="preserve"> cm para o fechamento adequado deste dreno.</w:t>
      </w:r>
    </w:p>
    <w:p w14:paraId="213EC218" w14:textId="6254D687" w:rsidR="006461F5" w:rsidRDefault="006461F5" w:rsidP="00B116E0">
      <w:pPr>
        <w:pStyle w:val="Citao"/>
        <w:spacing w:line="276" w:lineRule="auto"/>
        <w:ind w:left="567"/>
        <w:outlineLvl w:val="0"/>
        <w:rPr>
          <w:rStyle w:val="Forte"/>
          <w:sz w:val="24"/>
          <w:szCs w:val="24"/>
        </w:rPr>
      </w:pPr>
    </w:p>
    <w:p w14:paraId="6BB6D4D4" w14:textId="600FB669" w:rsidR="00B33018" w:rsidRDefault="00B33018" w:rsidP="00B116E0">
      <w:pPr>
        <w:pStyle w:val="Citao"/>
        <w:spacing w:line="276" w:lineRule="auto"/>
        <w:ind w:left="567"/>
        <w:outlineLvl w:val="0"/>
        <w:rPr>
          <w:rStyle w:val="Forte"/>
          <w:sz w:val="24"/>
          <w:szCs w:val="24"/>
        </w:rPr>
      </w:pPr>
    </w:p>
    <w:p w14:paraId="55D5BB7A" w14:textId="77777777" w:rsidR="00B33018" w:rsidRPr="00B116E0" w:rsidRDefault="00B33018" w:rsidP="00B116E0">
      <w:pPr>
        <w:pStyle w:val="Citao"/>
        <w:spacing w:line="276" w:lineRule="auto"/>
        <w:ind w:left="567"/>
        <w:outlineLvl w:val="0"/>
        <w:rPr>
          <w:rStyle w:val="Forte"/>
          <w:sz w:val="24"/>
          <w:szCs w:val="24"/>
        </w:rPr>
      </w:pPr>
    </w:p>
    <w:p w14:paraId="3D11764C" w14:textId="5CA72A59" w:rsidR="007B7F6B" w:rsidRDefault="00332EF4" w:rsidP="007B7F6B">
      <w:pPr>
        <w:pStyle w:val="Citao"/>
        <w:numPr>
          <w:ilvl w:val="1"/>
          <w:numId w:val="8"/>
        </w:numPr>
        <w:spacing w:line="276" w:lineRule="auto"/>
        <w:outlineLvl w:val="0"/>
        <w:rPr>
          <w:rStyle w:val="Forte"/>
          <w:sz w:val="24"/>
          <w:szCs w:val="24"/>
        </w:rPr>
      </w:pPr>
      <w:r>
        <w:rPr>
          <w:rStyle w:val="Forte"/>
          <w:sz w:val="24"/>
          <w:szCs w:val="24"/>
        </w:rPr>
        <w:lastRenderedPageBreak/>
        <w:t xml:space="preserve"> </w:t>
      </w:r>
      <w:r w:rsidR="007B7F6B">
        <w:rPr>
          <w:rStyle w:val="Forte"/>
          <w:sz w:val="24"/>
          <w:szCs w:val="24"/>
        </w:rPr>
        <w:t xml:space="preserve">BINDER  </w:t>
      </w:r>
    </w:p>
    <w:p w14:paraId="46C66D18" w14:textId="77777777" w:rsidR="007B7F6B" w:rsidRPr="007B7F6B" w:rsidRDefault="007B7F6B" w:rsidP="007B7F6B">
      <w:pPr>
        <w:pStyle w:val="Citao"/>
        <w:spacing w:line="360" w:lineRule="auto"/>
        <w:ind w:left="0" w:firstLine="708"/>
        <w:jc w:val="both"/>
        <w:outlineLvl w:val="0"/>
        <w:rPr>
          <w:rStyle w:val="Forte"/>
          <w:rFonts w:cs="Arial"/>
          <w:i w:val="0"/>
          <w:iCs/>
          <w:sz w:val="28"/>
          <w:szCs w:val="28"/>
        </w:rPr>
      </w:pPr>
      <w:r w:rsidRPr="007B7F6B">
        <w:rPr>
          <w:rFonts w:cs="Arial"/>
          <w:i w:val="0"/>
          <w:iCs/>
          <w:sz w:val="24"/>
          <w:szCs w:val="22"/>
        </w:rPr>
        <w:t>Esse tipo de C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B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U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Q é indicado para formar a camada de ligação da</w:t>
      </w:r>
      <w:r>
        <w:rPr>
          <w:rFonts w:cs="Arial"/>
          <w:i w:val="0"/>
          <w:iCs/>
          <w:sz w:val="24"/>
          <w:szCs w:val="22"/>
        </w:rPr>
        <w:t xml:space="preserve"> </w:t>
      </w:r>
      <w:r w:rsidRPr="007B7F6B">
        <w:rPr>
          <w:rFonts w:cs="Arial"/>
          <w:i w:val="0"/>
          <w:iCs/>
          <w:sz w:val="24"/>
          <w:szCs w:val="22"/>
        </w:rPr>
        <w:t>pavimentação. Isso se deve pelo fato de ter agregados minerais com maior diâmetro de graduação, maior porcentagem de vazios e menor porcentagem de material de enchimento (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filler</w:t>
      </w:r>
      <w:proofErr w:type="spellEnd"/>
      <w:r w:rsidRPr="007B7F6B">
        <w:rPr>
          <w:rFonts w:cs="Arial"/>
          <w:i w:val="0"/>
          <w:iCs/>
          <w:sz w:val="24"/>
          <w:szCs w:val="22"/>
        </w:rPr>
        <w:t xml:space="preserve">) e de ligante 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betumoso</w:t>
      </w:r>
      <w:proofErr w:type="spellEnd"/>
      <w:r w:rsidRPr="007B7F6B">
        <w:rPr>
          <w:rFonts w:cs="Arial"/>
          <w:i w:val="0"/>
          <w:iCs/>
          <w:sz w:val="24"/>
          <w:szCs w:val="22"/>
        </w:rPr>
        <w:t xml:space="preserve">. O 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binder</w:t>
      </w:r>
      <w:proofErr w:type="spellEnd"/>
      <w:r w:rsidRPr="007B7F6B">
        <w:rPr>
          <w:rFonts w:cs="Arial"/>
          <w:i w:val="0"/>
          <w:iCs/>
          <w:sz w:val="24"/>
          <w:szCs w:val="22"/>
        </w:rPr>
        <w:t>, vai abaixo da capa asfáltica e faz a ligação da primeira camada com as camadas da base</w:t>
      </w:r>
      <w:r>
        <w:rPr>
          <w:rFonts w:cs="Arial"/>
          <w:i w:val="0"/>
          <w:iCs/>
          <w:sz w:val="24"/>
          <w:szCs w:val="22"/>
        </w:rPr>
        <w:t xml:space="preserve"> e terá uma espessura de 2 cm.</w:t>
      </w:r>
    </w:p>
    <w:p w14:paraId="6B6FDC49" w14:textId="77777777" w:rsidR="007B7F6B" w:rsidRPr="007B7F6B" w:rsidRDefault="007B7F6B" w:rsidP="007B7F6B">
      <w:pPr>
        <w:pStyle w:val="Citao"/>
        <w:spacing w:line="276" w:lineRule="auto"/>
        <w:ind w:left="0"/>
        <w:outlineLvl w:val="0"/>
        <w:rPr>
          <w:rStyle w:val="Forte"/>
          <w:sz w:val="24"/>
          <w:szCs w:val="24"/>
        </w:rPr>
      </w:pPr>
    </w:p>
    <w:p w14:paraId="6B2273F9" w14:textId="2A029F3E" w:rsidR="008A13B5" w:rsidRPr="008A13B5" w:rsidRDefault="0082706C" w:rsidP="006F1242">
      <w:pPr>
        <w:pStyle w:val="Citao"/>
        <w:numPr>
          <w:ilvl w:val="1"/>
          <w:numId w:val="8"/>
        </w:numPr>
        <w:spacing w:line="276" w:lineRule="auto"/>
        <w:outlineLvl w:val="0"/>
        <w:rPr>
          <w:rStyle w:val="Forte"/>
          <w:sz w:val="24"/>
          <w:szCs w:val="24"/>
        </w:rPr>
      </w:pPr>
      <w:r>
        <w:rPr>
          <w:rStyle w:val="Forte"/>
          <w:sz w:val="24"/>
          <w:szCs w:val="24"/>
        </w:rPr>
        <w:t xml:space="preserve"> </w:t>
      </w:r>
      <w:r w:rsidR="008A13B5" w:rsidRPr="008A13B5">
        <w:rPr>
          <w:rStyle w:val="Forte"/>
          <w:sz w:val="24"/>
          <w:szCs w:val="24"/>
        </w:rPr>
        <w:t>PINTURA DE LIGAÇÃO</w:t>
      </w:r>
    </w:p>
    <w:p w14:paraId="23C7F50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material utilizado para a pintura de ligação é derivado do petróleo, conhecido como emulsão asfáltica RR-2C, à taxa de aplicação do material deverá ser na ordem de 0.6 L/m².</w:t>
      </w:r>
    </w:p>
    <w:p w14:paraId="49107BE4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pintura de ligação será executada após a base estar perfeitamente limpa e seca, utilizando-se para tal o caminhão espargidor.</w:t>
      </w:r>
    </w:p>
    <w:p w14:paraId="186DABF4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material betuminoso deverá ser aplicado de maneira uniforme, sempre através de barras de aspersão e sob pressão. Antes do início da distribuição do material deve-se verificar se todos os bicos da barra de distribuição estão abertos. A aplicação poderá ser executada manualmente utilizando-se a caneta sob pressão acoplada ao caminhão espargidor.</w:t>
      </w:r>
    </w:p>
    <w:p w14:paraId="426A661D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área a ser pintada deve estar seca ou ligeiramente umedecida. É vedado proceder ao serviço com a superfície molhada ou quando a temperatura do ar seja inferior a 10° C ou ainda em condições atmosféricas desfavoráveis.</w:t>
      </w:r>
    </w:p>
    <w:p w14:paraId="06DC4267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área que apresentar taxas abaixo da mínima especificada deverá receber uma segunda aplicação de forma a completar a quantidade recomendada.</w:t>
      </w:r>
    </w:p>
    <w:p w14:paraId="4AEC110E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Deve ser feito o controle do tráfego, proibindo a circulação de veículos sobre a área com a aplicação da emulsão asfáltica.</w:t>
      </w:r>
    </w:p>
    <w:p w14:paraId="5D57234C" w14:textId="03860F4A" w:rsid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490546CD" w14:textId="6A79F3CC" w:rsidR="00B33018" w:rsidRDefault="00B33018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38AC454" w14:textId="77777777" w:rsidR="00B33018" w:rsidRPr="008A13B5" w:rsidRDefault="00B33018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2F1F2F2" w14:textId="0D833D6F" w:rsidR="008A13B5" w:rsidRPr="008A13B5" w:rsidRDefault="006F1242" w:rsidP="00B33018">
      <w:pPr>
        <w:pStyle w:val="Citao"/>
        <w:spacing w:line="276" w:lineRule="auto"/>
        <w:ind w:left="708" w:hanging="424"/>
        <w:outlineLvl w:val="0"/>
        <w:rPr>
          <w:rStyle w:val="Forte"/>
          <w:sz w:val="24"/>
          <w:szCs w:val="24"/>
        </w:rPr>
      </w:pPr>
      <w:bookmarkStart w:id="5" w:name="_Toc450638289"/>
      <w:proofErr w:type="gramStart"/>
      <w:r>
        <w:rPr>
          <w:rStyle w:val="Forte"/>
          <w:sz w:val="24"/>
          <w:szCs w:val="24"/>
        </w:rPr>
        <w:t xml:space="preserve">2.4 </w:t>
      </w:r>
      <w:r w:rsidR="00332EF4">
        <w:rPr>
          <w:rStyle w:val="Forte"/>
          <w:sz w:val="24"/>
          <w:szCs w:val="24"/>
        </w:rPr>
        <w:t xml:space="preserve"> </w:t>
      </w:r>
      <w:r w:rsidR="008A13B5" w:rsidRPr="008A13B5">
        <w:rPr>
          <w:rStyle w:val="Forte"/>
          <w:sz w:val="24"/>
          <w:szCs w:val="24"/>
        </w:rPr>
        <w:t>REVESTIMENTO</w:t>
      </w:r>
      <w:proofErr w:type="gramEnd"/>
      <w:r w:rsidR="008A13B5" w:rsidRPr="008A13B5">
        <w:rPr>
          <w:rStyle w:val="Forte"/>
          <w:sz w:val="24"/>
          <w:szCs w:val="24"/>
        </w:rPr>
        <w:t xml:space="preserve"> EM CONCRETO ASFÁLTICO</w:t>
      </w:r>
      <w:bookmarkEnd w:id="5"/>
    </w:p>
    <w:p w14:paraId="47023409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Deverá ser empregado como material betuminoso o cimento asfáltico (CAP-50/70).</w:t>
      </w:r>
    </w:p>
    <w:p w14:paraId="3A931C8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agregado graúdo deve ser de pedra britada, com partículas de forma cúbica ou piramidal, limpas, duras, resistentes e de qualidade razoavelmente uniforme. O agregado deverá ser isento de pó, matérias orgânicas ou outro material nocivo e não deverá conter fragmentos de rocha alterada ou excesso de partículas lamelares ou chatas.</w:t>
      </w:r>
    </w:p>
    <w:p w14:paraId="38B95588" w14:textId="2F24F215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 xml:space="preserve">O agregado miúdo é composto de pedrisco e pó de pedra, de modo que suas partículas individuais apresentem moderada angulosidade, sejam resistentes e estejam isentas de torrões de argila ou </w:t>
      </w:r>
      <w:r w:rsidR="001C26EF" w:rsidRPr="008A13B5">
        <w:rPr>
          <w:rFonts w:ascii="Arial" w:hAnsi="Arial"/>
          <w:sz w:val="24"/>
          <w:szCs w:val="24"/>
        </w:rPr>
        <w:t>outras substâncias nocivas</w:t>
      </w:r>
      <w:r w:rsidRPr="008A13B5">
        <w:rPr>
          <w:rFonts w:ascii="Arial" w:hAnsi="Arial"/>
          <w:sz w:val="24"/>
          <w:szCs w:val="24"/>
        </w:rPr>
        <w:t>.</w:t>
      </w:r>
    </w:p>
    <w:p w14:paraId="391325FD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teor de asfalto será de 5,8 a 6,4 %, sendo que a porcentagem de betume se refere à mistura de agregados considerada como 100%.</w:t>
      </w:r>
    </w:p>
    <w:p w14:paraId="2EA51DBF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revestimento será em C.B.U.Q. (Concreto Betuminoso Usinado à Quente), e deve obedecer a faixa C especificada pelo DNIT.</w:t>
      </w:r>
    </w:p>
    <w:p w14:paraId="0F73032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C.B.U.Q. será executado sobre a superfície após a realização da pintura de ligação. O C.B.U.Q. deverá deixar a usina a uma temperatura de no máximo 165° C, e chegar no local da obra a uma temperatura não inferior a 120° C e a aplicação não pode ser inferior a 120° C. O transporte deste material deverá ser feito através da utilização de caminhões providos de caçamba metálica juntamente com lonas para a proteção e conservação da temperatura.</w:t>
      </w:r>
    </w:p>
    <w:p w14:paraId="4A4BBB31" w14:textId="1BC955C8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 xml:space="preserve">A aplicação do C.B.U.Q. sobre a pista deverá ser realizada com o auxílio da </w:t>
      </w:r>
      <w:r w:rsidR="0082706C" w:rsidRPr="008A13B5">
        <w:rPr>
          <w:rFonts w:ascii="Arial" w:hAnsi="Arial"/>
          <w:sz w:val="24"/>
          <w:szCs w:val="24"/>
        </w:rPr>
        <w:t>vibro acabadora</w:t>
      </w:r>
      <w:r w:rsidRPr="008A13B5">
        <w:rPr>
          <w:rFonts w:ascii="Arial" w:hAnsi="Arial"/>
          <w:sz w:val="24"/>
          <w:szCs w:val="24"/>
        </w:rPr>
        <w:t xml:space="preserve">, obedecendo a espessura do projeto. A rolagem deverá ser feita com a utilização do rolo pneumático e o fechamento com o rolo liso (tandem). A rolagem deve ser iniciada à temperatura de 120°C e encerrada sem que a temperatura caia abaixo de 95°C. A compactação deverá ser iniciada nas bordas e progredir longitudinalmente para o centro, de modo que os rolos cubram uniformemente em cada passada pelo menos a metade da largura de seu rastro da passagem anterior. </w:t>
      </w:r>
      <w:r w:rsidRPr="008A13B5">
        <w:rPr>
          <w:rFonts w:ascii="Arial" w:hAnsi="Arial"/>
          <w:sz w:val="24"/>
          <w:szCs w:val="24"/>
        </w:rPr>
        <w:lastRenderedPageBreak/>
        <w:t>Nas curvas, a rolagem deverá progredir do lado mais baixo para o lado mais alto, paralelamente ao eixo da guia e nas mesmas condições do recobrimento do rastro.</w:t>
      </w:r>
    </w:p>
    <w:p w14:paraId="5659151A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Os compressores não poderão fazer manobras sobre a camada que está sofrendo rolagem. A compressão requerida em lugares inacessíveis aos compressores será executada por meio de soquete manual ou placa vibratória.</w:t>
      </w:r>
    </w:p>
    <w:p w14:paraId="328B592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As depressões ou saliências que aparecerem após a rolagem deverão ser corrigidas pelo afrouxamento e compressão da mistura até que a mesma adquira densidade igual ao material circundante.</w:t>
      </w:r>
    </w:p>
    <w:p w14:paraId="26E88E7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b/>
          <w:bCs/>
        </w:rPr>
      </w:pPr>
    </w:p>
    <w:p w14:paraId="0F86E5B5" w14:textId="39316E79" w:rsidR="007D1DCF" w:rsidRDefault="00B27430" w:rsidP="000C33A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 </w:t>
      </w:r>
      <w:r w:rsidR="000C33AC">
        <w:rPr>
          <w:rFonts w:ascii="Arial" w:hAnsi="Arial"/>
          <w:sz w:val="24"/>
          <w:szCs w:val="24"/>
        </w:rPr>
        <w:tab/>
      </w:r>
      <w:r w:rsidR="000C33AC">
        <w:rPr>
          <w:rFonts w:ascii="Arial" w:hAnsi="Arial"/>
          <w:sz w:val="24"/>
          <w:szCs w:val="24"/>
        </w:rPr>
        <w:tab/>
      </w:r>
      <w:proofErr w:type="gramStart"/>
      <w:r w:rsidR="006F1242">
        <w:rPr>
          <w:rFonts w:ascii="Arial" w:hAnsi="Arial"/>
          <w:b/>
          <w:bCs/>
          <w:i/>
          <w:iCs/>
          <w:sz w:val="24"/>
          <w:szCs w:val="24"/>
        </w:rPr>
        <w:t>2.5</w:t>
      </w:r>
      <w:r w:rsidR="00332EF4">
        <w:rPr>
          <w:rFonts w:ascii="Arial" w:hAnsi="Arial"/>
          <w:b/>
          <w:bCs/>
          <w:sz w:val="24"/>
          <w:szCs w:val="24"/>
        </w:rPr>
        <w:t xml:space="preserve"> </w:t>
      </w:r>
      <w:r w:rsidR="007D1DCF">
        <w:rPr>
          <w:rFonts w:ascii="Arial" w:hAnsi="Arial"/>
          <w:b/>
          <w:bCs/>
          <w:sz w:val="24"/>
          <w:szCs w:val="24"/>
        </w:rPr>
        <w:t xml:space="preserve"> MEIO</w:t>
      </w:r>
      <w:proofErr w:type="gramEnd"/>
      <w:r w:rsidR="007D1DCF">
        <w:rPr>
          <w:rFonts w:ascii="Arial" w:hAnsi="Arial"/>
          <w:b/>
          <w:bCs/>
          <w:sz w:val="24"/>
          <w:szCs w:val="24"/>
        </w:rPr>
        <w:t xml:space="preserve"> FIO</w:t>
      </w:r>
    </w:p>
    <w:p w14:paraId="468FDC85" w14:textId="5F7A0056" w:rsidR="007D1DCF" w:rsidRPr="007D1DCF" w:rsidRDefault="007D1DCF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Para dar acabamento será colocado meios-fios ou guias de concreto,</w:t>
      </w:r>
      <w:r w:rsidR="006F1242">
        <w:rPr>
          <w:rFonts w:ascii="Arial" w:hAnsi="Arial"/>
          <w:sz w:val="24"/>
          <w:szCs w:val="24"/>
        </w:rPr>
        <w:t xml:space="preserve"> </w:t>
      </w:r>
      <w:r w:rsidRPr="007D1DCF">
        <w:rPr>
          <w:rFonts w:ascii="Arial" w:hAnsi="Arial"/>
          <w:sz w:val="24"/>
          <w:szCs w:val="24"/>
        </w:rPr>
        <w:t>nas dimensões especificadas na planilha de orçamento, para melhorar os elementos d</w:t>
      </w:r>
      <w:r w:rsidR="00872DAC">
        <w:rPr>
          <w:rFonts w:ascii="Arial" w:hAnsi="Arial"/>
          <w:sz w:val="24"/>
          <w:szCs w:val="24"/>
        </w:rPr>
        <w:t>as calçadas, pedras poliédricas e da reperfilagem asfáltica</w:t>
      </w:r>
      <w:r w:rsidRPr="007D1DCF">
        <w:rPr>
          <w:rFonts w:ascii="Arial" w:hAnsi="Arial"/>
          <w:sz w:val="24"/>
          <w:szCs w:val="24"/>
        </w:rPr>
        <w:t xml:space="preserve">. </w:t>
      </w:r>
    </w:p>
    <w:p w14:paraId="0846D5AA" w14:textId="5FEF468F" w:rsidR="007D1DCF" w:rsidRDefault="007D1DCF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Todos as calçadas devem conter inclinação mínima de 2% em direção a pista de rolamento. Todas as calçadas deverão conter rampas de acesso, conforme projeto e detalhes que a NBR 9050 – Acessibilidade apresenta e conforme detalhe em projetos. Todas as esquinas que este projeto contempla deverão ser executadas as rampas e as rampas devem ser executadas nos locais aonde à a existência de faixa de pedestres.</w:t>
      </w:r>
    </w:p>
    <w:p w14:paraId="7972D27C" w14:textId="4501C686" w:rsidR="00B14048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029D6AC" w14:textId="42597A92" w:rsidR="00B14048" w:rsidRPr="00B14048" w:rsidRDefault="006F1242" w:rsidP="00B140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>
        <w:rPr>
          <w:rFonts w:ascii="Arial" w:hAnsi="Arial"/>
          <w:b/>
          <w:bCs/>
          <w:i/>
          <w:iCs/>
          <w:sz w:val="24"/>
          <w:szCs w:val="24"/>
        </w:rPr>
        <w:t xml:space="preserve"> </w:t>
      </w:r>
      <w:r w:rsidR="00B14048" w:rsidRPr="00B14048">
        <w:rPr>
          <w:rFonts w:ascii="Arial" w:hAnsi="Arial"/>
          <w:b/>
          <w:bCs/>
          <w:i/>
          <w:iCs/>
          <w:sz w:val="24"/>
          <w:szCs w:val="24"/>
        </w:rPr>
        <w:t>SINALIZAÇÃO ASFÁLTICA VERTICAL E HORIZONTAL</w:t>
      </w:r>
    </w:p>
    <w:p w14:paraId="592B7C91" w14:textId="77777777" w:rsidR="00D7488D" w:rsidRDefault="00D7488D" w:rsidP="00D7488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</w:rPr>
      </w:pPr>
    </w:p>
    <w:p w14:paraId="50593B7F" w14:textId="49AFBCF2" w:rsidR="00B14048" w:rsidRPr="00B27430" w:rsidRDefault="006F1242" w:rsidP="000C33AC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 w:rsidRPr="00D7488D">
        <w:rPr>
          <w:rFonts w:ascii="Arial" w:hAnsi="Arial"/>
          <w:b/>
          <w:bCs/>
          <w:i/>
          <w:iCs/>
          <w:sz w:val="24"/>
          <w:szCs w:val="24"/>
        </w:rPr>
        <w:t>.1</w:t>
      </w:r>
      <w:r w:rsidR="00D7488D">
        <w:rPr>
          <w:rFonts w:ascii="Arial" w:hAnsi="Arial"/>
          <w:b/>
          <w:bCs/>
          <w:sz w:val="24"/>
          <w:szCs w:val="24"/>
        </w:rPr>
        <w:t xml:space="preserve"> </w:t>
      </w:r>
      <w:r w:rsidR="00B14048" w:rsidRPr="00B27430">
        <w:rPr>
          <w:rFonts w:ascii="Arial" w:hAnsi="Arial"/>
          <w:b/>
          <w:bCs/>
          <w:sz w:val="24"/>
          <w:szCs w:val="24"/>
        </w:rPr>
        <w:t>SINALIZAÇÃO VERTICAL</w:t>
      </w:r>
    </w:p>
    <w:p w14:paraId="0A4C656F" w14:textId="0742FAE6" w:rsidR="00B14048" w:rsidRPr="00B27430" w:rsidRDefault="00872DAC" w:rsidP="005D32D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  <w:r w:rsidR="00B14048" w:rsidRPr="00B27430">
        <w:rPr>
          <w:rFonts w:ascii="Arial" w:hAnsi="Arial"/>
          <w:sz w:val="24"/>
          <w:szCs w:val="24"/>
        </w:rPr>
        <w:t>A sinalização vertical deve estabelecer comunicação visual por meio de placas fixadas em dispositivos implantados à margem ou sobre a via, com a finalidade de regulamentar o uso da via, advertir situações de perigo, além de orientar, informar e educar o usuário da mesma.</w:t>
      </w:r>
    </w:p>
    <w:p w14:paraId="2FDC1530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>As placas de regulamentação, advertência e indicação deverão ser implantadas, observando um afastamento mínimo de 0,60 m da borda da pista.</w:t>
      </w:r>
    </w:p>
    <w:p w14:paraId="29259F51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Todas as placas </w:t>
      </w:r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gramEnd"/>
      <w:r w:rsidRPr="00B27430">
        <w:rPr>
          <w:rFonts w:ascii="Arial" w:hAnsi="Arial"/>
          <w:sz w:val="24"/>
          <w:szCs w:val="24"/>
        </w:rPr>
        <w:t xml:space="preserve"> serem implantadas na Rua (conf. projeto em anexo) deverão ser fixadas em postes de aço galvanizado, por meio de molduras, braçadeiras, parafusos e arruelas também de aço galvanizado.  O poste deverá ter tamanho suficiente que permita enterrar 0,75 m da sua base e mantenha altura mínima de 2,00 m do passeio.</w:t>
      </w:r>
    </w:p>
    <w:p w14:paraId="235DA7D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As placas deverão ser confeccionadas em chapas de aço com espessura mínima de 1,5 mm, sendo que as películas refletivas que comporão os sinais, sendo fundos, símbolos, orlas, letras, números, setas e pictogramas, deverão ser constituídas por lentes micro esféricas agregadas a resina sintética e encapsuladas em uma camada de ar cobertas por um plástico transparente e flexível, o que lhe deve conferir uma superfície lisa e plana, </w:t>
      </w:r>
      <w:proofErr w:type="gramStart"/>
      <w:r w:rsidRPr="00B27430">
        <w:rPr>
          <w:rFonts w:ascii="Arial" w:hAnsi="Arial"/>
          <w:sz w:val="24"/>
          <w:szCs w:val="24"/>
        </w:rPr>
        <w:t>portanto</w:t>
      </w:r>
      <w:proofErr w:type="gramEnd"/>
      <w:r w:rsidRPr="00B27430">
        <w:rPr>
          <w:rFonts w:ascii="Arial" w:hAnsi="Arial"/>
          <w:sz w:val="24"/>
          <w:szCs w:val="24"/>
        </w:rPr>
        <w:t xml:space="preserve"> as mesmas deverão ser </w:t>
      </w:r>
      <w:proofErr w:type="spellStart"/>
      <w:r w:rsidRPr="00B27430">
        <w:rPr>
          <w:rFonts w:ascii="Arial" w:hAnsi="Arial"/>
          <w:sz w:val="24"/>
          <w:szCs w:val="24"/>
        </w:rPr>
        <w:t>semi-refletivas</w:t>
      </w:r>
      <w:proofErr w:type="spellEnd"/>
      <w:r w:rsidRPr="00B27430">
        <w:rPr>
          <w:rFonts w:ascii="Arial" w:hAnsi="Arial"/>
          <w:sz w:val="24"/>
          <w:szCs w:val="24"/>
        </w:rPr>
        <w:t>.</w:t>
      </w:r>
    </w:p>
    <w:p w14:paraId="5AFCAC8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placas de forma octogonal terão altura/ largura igual a 0,60 m e as de forma circular terão diâmetro de 0,60 m.</w:t>
      </w:r>
    </w:p>
    <w:p w14:paraId="2A73DDE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formas, proporções e cores dos símbolos, e as cores das placas de advertência deverão estar em acordo com o CÓDIGO DE TRÂNSITO BRASILEIRO.</w:t>
      </w:r>
    </w:p>
    <w:p w14:paraId="3A14FAD4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Placa Nome de Rua (Logradouro): Confeccionada em material chapa de ferro n° 20, na cor azul mineral com dimensões de 45 x 23 cm, subdividida em:</w:t>
      </w:r>
    </w:p>
    <w:p w14:paraId="51E75FEC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Parte “A” terá dimensões de 45x15 cm e conterá tipologia dos nomes de ruas, bairro e com a indicação dos números limites das quadras onde estiverem fixadas, descritos na cor branca.</w:t>
      </w:r>
    </w:p>
    <w:p w14:paraId="3457B076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Parte “B” terá dimensões 45x8 cm disponibilizará o espaço para a publicidade, informação complementar de local público, espaço para orientação de numeração de edificações e demais utilidades que por ventura a prefeitura optar. </w:t>
      </w:r>
    </w:p>
    <w:p w14:paraId="23195C8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escritas devem ser legíveis conforme modelo abaixo.</w:t>
      </w:r>
    </w:p>
    <w:p w14:paraId="1EFFBA0E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AC03A4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 wp14:anchorId="33C895A8" wp14:editId="0607ED58">
            <wp:extent cx="2809875" cy="1844744"/>
            <wp:effectExtent l="0" t="0" r="0" b="3175"/>
            <wp:docPr id="6" name="Imagem 6" descr="Placa de nome de ru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ca de nome de rua 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995" cy="1879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6D1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 Figura 01 – Modelo de Placa Nome de Rua (Logradouro);</w:t>
      </w:r>
    </w:p>
    <w:p w14:paraId="0D1332E6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AC03A4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02165917" wp14:editId="3E95F469">
            <wp:extent cx="2971800" cy="1729619"/>
            <wp:effectExtent l="0" t="0" r="0" b="4445"/>
            <wp:docPr id="4" name="Imagem 4" descr="placa1z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ca1zl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56" cy="1751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45ABA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02 – Modelo de Escrita de Placa Nome de Rua (Logradouro);</w:t>
      </w:r>
    </w:p>
    <w:p w14:paraId="3A695BC0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6F1A7D8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Placa </w:t>
      </w:r>
      <w:r>
        <w:rPr>
          <w:rFonts w:ascii="Arial" w:hAnsi="Arial"/>
          <w:sz w:val="24"/>
          <w:szCs w:val="24"/>
        </w:rPr>
        <w:t xml:space="preserve">de Pare, como especifica planilha orçamentária: </w:t>
      </w:r>
    </w:p>
    <w:p w14:paraId="2FC0F42B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5FEB8D80" wp14:editId="5D4AFADA">
            <wp:extent cx="1952625" cy="1909553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4C967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379" cy="193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3E24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</w:t>
      </w:r>
      <w:r>
        <w:rPr>
          <w:rFonts w:ascii="Arial" w:hAnsi="Arial"/>
          <w:sz w:val="24"/>
          <w:szCs w:val="24"/>
        </w:rPr>
        <w:t>3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Pare</w:t>
      </w:r>
      <w:r w:rsidRPr="00B27430">
        <w:rPr>
          <w:rFonts w:ascii="Arial" w:hAnsi="Arial"/>
          <w:sz w:val="24"/>
          <w:szCs w:val="24"/>
        </w:rPr>
        <w:t>;</w:t>
      </w:r>
    </w:p>
    <w:p w14:paraId="4AEC6A4D" w14:textId="09C10821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4D61A31F" w14:textId="77777777" w:rsidR="00B33018" w:rsidRDefault="00B3301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AB6E1C3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 xml:space="preserve">Placa </w:t>
      </w:r>
      <w:r>
        <w:rPr>
          <w:rFonts w:ascii="Arial" w:hAnsi="Arial"/>
          <w:sz w:val="24"/>
          <w:szCs w:val="24"/>
        </w:rPr>
        <w:t xml:space="preserve">de Lombada, como especifica planilha orçamentária: </w:t>
      </w:r>
    </w:p>
    <w:p w14:paraId="04FFF539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A6F371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22AF447E" wp14:editId="395B45FE">
            <wp:extent cx="1743075" cy="1706880"/>
            <wp:effectExtent l="0" t="0" r="9525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4C9921.t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6" t="7108" r="3117" b="1765"/>
                    <a:stretch/>
                  </pic:blipFill>
                  <pic:spPr bwMode="auto">
                    <a:xfrm>
                      <a:off x="0" y="0"/>
                      <a:ext cx="1754224" cy="17177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A14DB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</w:t>
      </w:r>
      <w:r>
        <w:rPr>
          <w:rFonts w:ascii="Arial" w:hAnsi="Arial"/>
          <w:sz w:val="24"/>
          <w:szCs w:val="24"/>
        </w:rPr>
        <w:t>4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Lombada</w:t>
      </w:r>
      <w:r w:rsidRPr="00B27430">
        <w:rPr>
          <w:rFonts w:ascii="Arial" w:hAnsi="Arial"/>
          <w:sz w:val="24"/>
          <w:szCs w:val="24"/>
        </w:rPr>
        <w:t>;</w:t>
      </w:r>
    </w:p>
    <w:p w14:paraId="122F2F96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3741599F" w14:textId="3ADD4C13" w:rsidR="00B14048" w:rsidRPr="00B27430" w:rsidRDefault="006F1242" w:rsidP="000C33AC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 w:rsidRPr="00D7488D">
        <w:rPr>
          <w:rFonts w:ascii="Arial" w:hAnsi="Arial"/>
          <w:b/>
          <w:bCs/>
          <w:i/>
          <w:iCs/>
          <w:sz w:val="24"/>
          <w:szCs w:val="24"/>
        </w:rPr>
        <w:t>.</w:t>
      </w:r>
      <w:r>
        <w:rPr>
          <w:rFonts w:ascii="Arial" w:hAnsi="Arial"/>
          <w:b/>
          <w:bCs/>
          <w:i/>
          <w:iCs/>
          <w:sz w:val="24"/>
          <w:szCs w:val="24"/>
        </w:rPr>
        <w:t>2</w:t>
      </w:r>
      <w:r w:rsidR="00D7488D">
        <w:rPr>
          <w:rFonts w:ascii="Arial" w:hAnsi="Arial"/>
          <w:b/>
          <w:bCs/>
          <w:sz w:val="24"/>
          <w:szCs w:val="24"/>
        </w:rPr>
        <w:t xml:space="preserve"> </w:t>
      </w:r>
      <w:r w:rsidR="00B14048" w:rsidRPr="00B27430">
        <w:rPr>
          <w:rFonts w:ascii="Arial" w:hAnsi="Arial"/>
          <w:b/>
          <w:bCs/>
          <w:sz w:val="24"/>
          <w:szCs w:val="24"/>
        </w:rPr>
        <w:t>SINALIZAÇÃO HORIZONTAL</w:t>
      </w:r>
    </w:p>
    <w:p w14:paraId="6117F13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Neste projeto, a sinalização horizontal se compõe basicamente da pintura de linhas de demarcação sobre o pavimento.</w:t>
      </w:r>
    </w:p>
    <w:p w14:paraId="6E8DBD9E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pintura destinada as faixas de pedestres serão na cor branca-neve, em faixas com </w:t>
      </w:r>
      <w:r>
        <w:rPr>
          <w:rFonts w:ascii="Arial" w:hAnsi="Arial"/>
          <w:sz w:val="24"/>
          <w:szCs w:val="24"/>
        </w:rPr>
        <w:t>2</w:t>
      </w:r>
      <w:r w:rsidRPr="00B27430">
        <w:rPr>
          <w:rFonts w:ascii="Arial" w:hAnsi="Arial"/>
          <w:sz w:val="24"/>
          <w:szCs w:val="24"/>
        </w:rPr>
        <w:t>,</w:t>
      </w:r>
      <w:r>
        <w:rPr>
          <w:rFonts w:ascii="Arial" w:hAnsi="Arial"/>
          <w:sz w:val="24"/>
          <w:szCs w:val="24"/>
        </w:rPr>
        <w:t>5</w:t>
      </w:r>
      <w:r w:rsidRPr="00B27430">
        <w:rPr>
          <w:rFonts w:ascii="Arial" w:hAnsi="Arial"/>
          <w:sz w:val="24"/>
          <w:szCs w:val="24"/>
        </w:rPr>
        <w:t>0 m de comprimento e 0,40 m de largura, bem como, intercaladas a cada 0,60 m.</w:t>
      </w:r>
    </w:p>
    <w:p w14:paraId="4EB0532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O material </w:t>
      </w:r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gramEnd"/>
      <w:r w:rsidRPr="00B27430">
        <w:rPr>
          <w:rFonts w:ascii="Arial" w:hAnsi="Arial"/>
          <w:sz w:val="24"/>
          <w:szCs w:val="24"/>
        </w:rPr>
        <w:t xml:space="preserve"> ser usado na sinalização horizontal é a tinta à base de resina acrílica emulsionada em água, aplicada de forma a produzir marcas com bordas claras e nítidas, com películas de cor e largura uniforme, de acordo com o indicado nos projetos em anexo.</w:t>
      </w:r>
    </w:p>
    <w:p w14:paraId="5D72E9A4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espessura úmida deverá ser de 0,6 mm, </w:t>
      </w:r>
      <w:proofErr w:type="spellStart"/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spellEnd"/>
      <w:proofErr w:type="gramEnd"/>
      <w:r w:rsidRPr="00B27430">
        <w:rPr>
          <w:rFonts w:ascii="Arial" w:hAnsi="Arial"/>
          <w:sz w:val="24"/>
          <w:szCs w:val="24"/>
        </w:rPr>
        <w:t xml:space="preserve"> ser atingida numa única aplicação. Deverão ser incorporados 250 g de microesferas de vidro, tipo </w:t>
      </w:r>
      <w:proofErr w:type="spellStart"/>
      <w:r w:rsidRPr="00B27430">
        <w:rPr>
          <w:rFonts w:ascii="Arial" w:hAnsi="Arial"/>
          <w:sz w:val="24"/>
          <w:szCs w:val="24"/>
        </w:rPr>
        <w:t>Drop-on</w:t>
      </w:r>
      <w:proofErr w:type="spellEnd"/>
      <w:r w:rsidRPr="00B27430">
        <w:rPr>
          <w:rFonts w:ascii="Arial" w:hAnsi="Arial"/>
          <w:sz w:val="24"/>
          <w:szCs w:val="24"/>
        </w:rPr>
        <w:t>, para cada m² aplicado.</w:t>
      </w:r>
    </w:p>
    <w:p w14:paraId="1C7A16B1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Na aplicação dos materiais o desvio máximo das bordas em 10 m deverá ser de 0,01 m para as marcas retas. Na espessura das marcas, admitir-se-á uma tolerância de mais ou menos 5%.</w:t>
      </w:r>
    </w:p>
    <w:p w14:paraId="12C53D2D" w14:textId="25062CBF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 xml:space="preserve">Os referidos materiais depois de aplicados deverão ser protegidos durante seu tempo de secagem, de modo a garantir </w:t>
      </w:r>
      <w:proofErr w:type="gramStart"/>
      <w:r w:rsidRPr="00B27430">
        <w:rPr>
          <w:rFonts w:ascii="Arial" w:hAnsi="Arial"/>
          <w:sz w:val="24"/>
          <w:szCs w:val="24"/>
        </w:rPr>
        <w:t>uma</w:t>
      </w:r>
      <w:r w:rsidR="005D32D6">
        <w:rPr>
          <w:rFonts w:ascii="Arial" w:hAnsi="Arial"/>
          <w:sz w:val="24"/>
          <w:szCs w:val="24"/>
        </w:rPr>
        <w:t xml:space="preserve"> </w:t>
      </w:r>
      <w:r w:rsidRPr="00B27430">
        <w:rPr>
          <w:rFonts w:ascii="Arial" w:hAnsi="Arial"/>
          <w:sz w:val="24"/>
          <w:szCs w:val="24"/>
        </w:rPr>
        <w:t>retro</w:t>
      </w:r>
      <w:proofErr w:type="gramEnd"/>
      <w:r w:rsidRPr="00B27430">
        <w:rPr>
          <w:rFonts w:ascii="Arial" w:hAnsi="Arial"/>
          <w:sz w:val="24"/>
          <w:szCs w:val="24"/>
        </w:rPr>
        <w:t xml:space="preserve"> refletância inicial mínima de 150 </w:t>
      </w:r>
      <w:proofErr w:type="spellStart"/>
      <w:r w:rsidRPr="00B27430">
        <w:rPr>
          <w:rFonts w:ascii="Arial" w:hAnsi="Arial"/>
          <w:sz w:val="24"/>
          <w:szCs w:val="24"/>
        </w:rPr>
        <w:t>mcd</w:t>
      </w:r>
      <w:proofErr w:type="spellEnd"/>
      <w:r w:rsidRPr="00B27430">
        <w:rPr>
          <w:rFonts w:ascii="Arial" w:hAnsi="Arial"/>
          <w:sz w:val="24"/>
          <w:szCs w:val="24"/>
        </w:rPr>
        <w:t xml:space="preserve">/lux.m² para o amarelo e 200 </w:t>
      </w:r>
      <w:proofErr w:type="spellStart"/>
      <w:r w:rsidRPr="00B27430">
        <w:rPr>
          <w:rFonts w:ascii="Arial" w:hAnsi="Arial"/>
          <w:sz w:val="24"/>
          <w:szCs w:val="24"/>
        </w:rPr>
        <w:t>mcd</w:t>
      </w:r>
      <w:proofErr w:type="spellEnd"/>
      <w:r w:rsidRPr="00B27430">
        <w:rPr>
          <w:rFonts w:ascii="Arial" w:hAnsi="Arial"/>
          <w:sz w:val="24"/>
          <w:szCs w:val="24"/>
        </w:rPr>
        <w:t>/lux.m² para o branco, medido com ângulo de incidência de 86,5º e ângulo de observância de 1, 5º.</w:t>
      </w:r>
    </w:p>
    <w:p w14:paraId="55479ED4" w14:textId="77777777" w:rsidR="00B14048" w:rsidRPr="008A13B5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1C95D5FE" w14:textId="77777777" w:rsidR="0082338D" w:rsidRDefault="0082338D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05376B77" w14:textId="77777777" w:rsidR="0082338D" w:rsidRDefault="0082338D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3B3F4499" w:rsidR="00930E12" w:rsidRDefault="00930E12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5EE66C88" w14:textId="48DE869B" w:rsid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BDEC30D" w14:textId="77777777" w:rsidR="00B2275B" w:rsidRPr="0005329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B7473F2" w14:textId="3F297CD6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</w:t>
      </w:r>
      <w:r w:rsidR="00B33018">
        <w:rPr>
          <w:rFonts w:ascii="Arial" w:hAnsi="Arial" w:cs="Arial"/>
          <w:i/>
          <w:iCs/>
          <w:sz w:val="24"/>
          <w:szCs w:val="24"/>
        </w:rPr>
        <w:t xml:space="preserve">Eduardo </w:t>
      </w:r>
      <w:proofErr w:type="spellStart"/>
      <w:r w:rsidR="00B33018">
        <w:rPr>
          <w:rFonts w:ascii="Arial" w:hAnsi="Arial" w:cs="Arial"/>
          <w:i/>
          <w:iCs/>
          <w:sz w:val="24"/>
          <w:szCs w:val="24"/>
        </w:rPr>
        <w:t>Dallo</w:t>
      </w:r>
      <w:proofErr w:type="spellEnd"/>
    </w:p>
    <w:p w14:paraId="7D90ED4B" w14:textId="5BAC8320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B33018">
        <w:rPr>
          <w:rFonts w:ascii="Arial" w:hAnsi="Arial" w:cs="Arial"/>
          <w:sz w:val="24"/>
          <w:szCs w:val="24"/>
        </w:rPr>
        <w:t>177935-2</w:t>
      </w:r>
    </w:p>
    <w:p w14:paraId="71157B85" w14:textId="5DA1E326" w:rsidR="00B2275B" w:rsidRP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Dionísio Cerqueira – SC,</w:t>
      </w:r>
      <w:r w:rsidR="00B848E8">
        <w:rPr>
          <w:rFonts w:ascii="Arial" w:hAnsi="Arial" w:cs="Arial"/>
          <w:sz w:val="24"/>
          <w:szCs w:val="24"/>
        </w:rPr>
        <w:t xml:space="preserve"> </w:t>
      </w:r>
      <w:r w:rsidR="000A665F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de 202</w:t>
      </w:r>
      <w:r w:rsidR="000A665F">
        <w:rPr>
          <w:rFonts w:ascii="Arial" w:hAnsi="Arial" w:cs="Arial"/>
          <w:sz w:val="24"/>
          <w:szCs w:val="24"/>
        </w:rPr>
        <w:t>2</w:t>
      </w:r>
      <w:r w:rsidRPr="0005329B">
        <w:rPr>
          <w:rFonts w:ascii="Arial" w:hAnsi="Arial" w:cs="Arial"/>
          <w:b/>
          <w:i/>
          <w:sz w:val="24"/>
          <w:szCs w:val="24"/>
        </w:rPr>
        <w:t>.</w:t>
      </w:r>
    </w:p>
    <w:sectPr w:rsidR="00B2275B" w:rsidRPr="00B2275B" w:rsidSect="002F3079">
      <w:headerReference w:type="default" r:id="rId12"/>
      <w:footerReference w:type="default" r:id="rId13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052E" w14:textId="77777777" w:rsidR="003368DC" w:rsidRDefault="003368DC">
      <w:pPr>
        <w:spacing w:before="0" w:after="0" w:line="240" w:lineRule="auto"/>
      </w:pPr>
      <w:r>
        <w:separator/>
      </w:r>
    </w:p>
  </w:endnote>
  <w:endnote w:type="continuationSeparator" w:id="0">
    <w:p w14:paraId="2357BA63" w14:textId="77777777" w:rsidR="003368DC" w:rsidRDefault="003368D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9EFF" w14:textId="77777777" w:rsidR="003368DC" w:rsidRDefault="003368DC">
      <w:pPr>
        <w:spacing w:before="0" w:after="0" w:line="240" w:lineRule="auto"/>
      </w:pPr>
      <w:r>
        <w:separator/>
      </w:r>
    </w:p>
  </w:footnote>
  <w:footnote w:type="continuationSeparator" w:id="0">
    <w:p w14:paraId="5593998F" w14:textId="77777777" w:rsidR="003368DC" w:rsidRDefault="003368D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B33018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6A17A59"/>
    <w:multiLevelType w:val="multilevel"/>
    <w:tmpl w:val="FE78F9A8"/>
    <w:lvl w:ilvl="0">
      <w:start w:val="1"/>
      <w:numFmt w:val="decimal"/>
      <w:lvlText w:val="%1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FF7C07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5AD4EFF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7AE316E7"/>
    <w:multiLevelType w:val="multilevel"/>
    <w:tmpl w:val="87C04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num w:numId="1" w16cid:durableId="156270301">
    <w:abstractNumId w:val="5"/>
  </w:num>
  <w:num w:numId="2" w16cid:durableId="1709796492">
    <w:abstractNumId w:val="2"/>
  </w:num>
  <w:num w:numId="3" w16cid:durableId="8607750">
    <w:abstractNumId w:val="0"/>
  </w:num>
  <w:num w:numId="4" w16cid:durableId="112293671">
    <w:abstractNumId w:val="3"/>
  </w:num>
  <w:num w:numId="5" w16cid:durableId="1032808517">
    <w:abstractNumId w:val="4"/>
  </w:num>
  <w:num w:numId="6" w16cid:durableId="1562863034">
    <w:abstractNumId w:val="6"/>
  </w:num>
  <w:num w:numId="7" w16cid:durableId="376710455">
    <w:abstractNumId w:val="1"/>
  </w:num>
  <w:num w:numId="8" w16cid:durableId="19942175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2407D"/>
    <w:rsid w:val="00050822"/>
    <w:rsid w:val="0005329B"/>
    <w:rsid w:val="00053668"/>
    <w:rsid w:val="0006193C"/>
    <w:rsid w:val="00080E23"/>
    <w:rsid w:val="0008149E"/>
    <w:rsid w:val="000A2BEB"/>
    <w:rsid w:val="000A3B0C"/>
    <w:rsid w:val="000A665F"/>
    <w:rsid w:val="000C33AC"/>
    <w:rsid w:val="000E2443"/>
    <w:rsid w:val="0010248D"/>
    <w:rsid w:val="0012165F"/>
    <w:rsid w:val="00155555"/>
    <w:rsid w:val="0017034A"/>
    <w:rsid w:val="001A0A46"/>
    <w:rsid w:val="001C26EF"/>
    <w:rsid w:val="002002AF"/>
    <w:rsid w:val="00223721"/>
    <w:rsid w:val="002326B2"/>
    <w:rsid w:val="00235DDC"/>
    <w:rsid w:val="002422F6"/>
    <w:rsid w:val="00252D37"/>
    <w:rsid w:val="00253AF3"/>
    <w:rsid w:val="002A77D0"/>
    <w:rsid w:val="002B4C7E"/>
    <w:rsid w:val="002B524F"/>
    <w:rsid w:val="002B67A3"/>
    <w:rsid w:val="002E596D"/>
    <w:rsid w:val="002F3079"/>
    <w:rsid w:val="002F5802"/>
    <w:rsid w:val="00313DEB"/>
    <w:rsid w:val="003269A3"/>
    <w:rsid w:val="0033268F"/>
    <w:rsid w:val="00332EF4"/>
    <w:rsid w:val="003368DC"/>
    <w:rsid w:val="00336CB4"/>
    <w:rsid w:val="00337CB4"/>
    <w:rsid w:val="003414BF"/>
    <w:rsid w:val="00357CFB"/>
    <w:rsid w:val="00387029"/>
    <w:rsid w:val="003A1A3B"/>
    <w:rsid w:val="003A59D7"/>
    <w:rsid w:val="003E04B3"/>
    <w:rsid w:val="004000A6"/>
    <w:rsid w:val="00437502"/>
    <w:rsid w:val="00470365"/>
    <w:rsid w:val="00484AED"/>
    <w:rsid w:val="00486C00"/>
    <w:rsid w:val="004A4CED"/>
    <w:rsid w:val="004C3F9E"/>
    <w:rsid w:val="004D2BF1"/>
    <w:rsid w:val="00500FA8"/>
    <w:rsid w:val="0050727F"/>
    <w:rsid w:val="0051414E"/>
    <w:rsid w:val="0051784F"/>
    <w:rsid w:val="00525F26"/>
    <w:rsid w:val="005301E6"/>
    <w:rsid w:val="00542A9D"/>
    <w:rsid w:val="005562F6"/>
    <w:rsid w:val="00574F5B"/>
    <w:rsid w:val="005C3234"/>
    <w:rsid w:val="005C7566"/>
    <w:rsid w:val="005D32D6"/>
    <w:rsid w:val="00615FB5"/>
    <w:rsid w:val="00634372"/>
    <w:rsid w:val="00635D01"/>
    <w:rsid w:val="006461F5"/>
    <w:rsid w:val="00652C8D"/>
    <w:rsid w:val="006554CB"/>
    <w:rsid w:val="006665FC"/>
    <w:rsid w:val="006748A6"/>
    <w:rsid w:val="00674B96"/>
    <w:rsid w:val="00690E12"/>
    <w:rsid w:val="006C0105"/>
    <w:rsid w:val="006D5D5B"/>
    <w:rsid w:val="006F1242"/>
    <w:rsid w:val="006F4D99"/>
    <w:rsid w:val="00711F64"/>
    <w:rsid w:val="00740A44"/>
    <w:rsid w:val="0078499E"/>
    <w:rsid w:val="007B7F6B"/>
    <w:rsid w:val="007C1FDE"/>
    <w:rsid w:val="007C7570"/>
    <w:rsid w:val="007D1DCF"/>
    <w:rsid w:val="007E4AB2"/>
    <w:rsid w:val="0080745A"/>
    <w:rsid w:val="00810FD3"/>
    <w:rsid w:val="0082338D"/>
    <w:rsid w:val="0082706C"/>
    <w:rsid w:val="00865C7C"/>
    <w:rsid w:val="00872DAC"/>
    <w:rsid w:val="008918B9"/>
    <w:rsid w:val="008A0904"/>
    <w:rsid w:val="008A13B5"/>
    <w:rsid w:val="008A796F"/>
    <w:rsid w:val="008B31DC"/>
    <w:rsid w:val="008B3816"/>
    <w:rsid w:val="008C0098"/>
    <w:rsid w:val="008C627A"/>
    <w:rsid w:val="008D1165"/>
    <w:rsid w:val="008F7558"/>
    <w:rsid w:val="00930E12"/>
    <w:rsid w:val="00946260"/>
    <w:rsid w:val="00974F27"/>
    <w:rsid w:val="009B7AF3"/>
    <w:rsid w:val="009C2C22"/>
    <w:rsid w:val="009D0C32"/>
    <w:rsid w:val="009E129F"/>
    <w:rsid w:val="009F1201"/>
    <w:rsid w:val="009F2A95"/>
    <w:rsid w:val="00A31F30"/>
    <w:rsid w:val="00A35794"/>
    <w:rsid w:val="00A6264A"/>
    <w:rsid w:val="00A65196"/>
    <w:rsid w:val="00A75FBF"/>
    <w:rsid w:val="00A8774A"/>
    <w:rsid w:val="00AE5CAE"/>
    <w:rsid w:val="00AF1C3A"/>
    <w:rsid w:val="00AF2DFF"/>
    <w:rsid w:val="00B0599E"/>
    <w:rsid w:val="00B116E0"/>
    <w:rsid w:val="00B14048"/>
    <w:rsid w:val="00B2275B"/>
    <w:rsid w:val="00B27430"/>
    <w:rsid w:val="00B3110D"/>
    <w:rsid w:val="00B33018"/>
    <w:rsid w:val="00B738F5"/>
    <w:rsid w:val="00B848E8"/>
    <w:rsid w:val="00BA2D2B"/>
    <w:rsid w:val="00BA7E1C"/>
    <w:rsid w:val="00BB2734"/>
    <w:rsid w:val="00BD34F9"/>
    <w:rsid w:val="00BD5E40"/>
    <w:rsid w:val="00BE7E3C"/>
    <w:rsid w:val="00BF278E"/>
    <w:rsid w:val="00BF3901"/>
    <w:rsid w:val="00C56587"/>
    <w:rsid w:val="00CB7D4B"/>
    <w:rsid w:val="00D0246F"/>
    <w:rsid w:val="00D323AC"/>
    <w:rsid w:val="00D70154"/>
    <w:rsid w:val="00D7488D"/>
    <w:rsid w:val="00D77770"/>
    <w:rsid w:val="00D87F50"/>
    <w:rsid w:val="00D96E34"/>
    <w:rsid w:val="00DF616D"/>
    <w:rsid w:val="00E3414A"/>
    <w:rsid w:val="00E34724"/>
    <w:rsid w:val="00E41CA8"/>
    <w:rsid w:val="00E72B57"/>
    <w:rsid w:val="00E76278"/>
    <w:rsid w:val="00E85B26"/>
    <w:rsid w:val="00E9551A"/>
    <w:rsid w:val="00EA668D"/>
    <w:rsid w:val="00ED58A1"/>
    <w:rsid w:val="00F2411E"/>
    <w:rsid w:val="00F412AA"/>
    <w:rsid w:val="00F41EEC"/>
    <w:rsid w:val="00F6687A"/>
    <w:rsid w:val="00F90882"/>
    <w:rsid w:val="00F9659B"/>
    <w:rsid w:val="00F973FA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uiPriority w:val="20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075B-F105-4616-BA4A-35F7EDD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2240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7</cp:revision>
  <cp:lastPrinted>2022-06-03T13:48:00Z</cp:lastPrinted>
  <dcterms:created xsi:type="dcterms:W3CDTF">2022-06-03T11:35:00Z</dcterms:created>
  <dcterms:modified xsi:type="dcterms:W3CDTF">2022-06-03T13:48:00Z</dcterms:modified>
</cp:coreProperties>
</file>